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A4" w:rsidRDefault="001050A4" w:rsidP="001050A4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учебного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предмета </w:t>
      </w:r>
      <w:r w:rsidRPr="00A041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Химия» </w:t>
      </w:r>
    </w:p>
    <w:p w:rsidR="001050A4" w:rsidRPr="00A041A1" w:rsidRDefault="001050A4" w:rsidP="001050A4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(10-11</w:t>
      </w:r>
      <w:bookmarkStart w:id="0" w:name="_GoBack"/>
      <w:bookmarkEnd w:id="0"/>
      <w:r w:rsidRPr="00A041A1">
        <w:rPr>
          <w:rFonts w:ascii="Times New Roman" w:hAnsi="Times New Roman"/>
          <w:b/>
          <w:color w:val="000000"/>
          <w:sz w:val="24"/>
          <w:szCs w:val="24"/>
        </w:rPr>
        <w:t xml:space="preserve"> классы)</w:t>
      </w:r>
    </w:p>
    <w:p w:rsidR="00E47CB0" w:rsidRPr="00E47CB0" w:rsidRDefault="007F10F7" w:rsidP="00E47CB0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E47CB0">
        <w:rPr>
          <w:rFonts w:ascii="Times New Roman" w:hAnsi="Times New Roman" w:cs="Times New Roman"/>
          <w:sz w:val="24"/>
        </w:rPr>
        <w:t>Химия</w:t>
      </w:r>
      <w:r w:rsidRPr="007F10F7">
        <w:rPr>
          <w:rFonts w:ascii="Times New Roman" w:hAnsi="Times New Roman" w:cs="Times New Roman"/>
          <w:sz w:val="24"/>
        </w:rPr>
        <w:t xml:space="preserve">» </w:t>
      </w:r>
      <w:r w:rsidR="00E47CB0" w:rsidRPr="00E47CB0">
        <w:rPr>
          <w:rFonts w:ascii="Times New Roman" w:hAnsi="Times New Roman" w:cs="Times New Roman"/>
          <w:color w:val="000000"/>
          <w:sz w:val="24"/>
          <w:szCs w:val="24"/>
        </w:rPr>
        <w:t>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р.).​</w:t>
      </w:r>
    </w:p>
    <w:p w:rsidR="008906E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 по</w:t>
      </w:r>
      <w:r w:rsidR="00CA428C">
        <w:rPr>
          <w:rFonts w:ascii="Times New Roman" w:hAnsi="Times New Roman" w:cs="Times New Roman"/>
          <w:sz w:val="24"/>
        </w:rPr>
        <w:t xml:space="preserve"> химии</w:t>
      </w:r>
      <w:r w:rsidR="009135D2">
        <w:rPr>
          <w:rFonts w:ascii="Times New Roman" w:hAnsi="Times New Roman" w:cs="Times New Roman"/>
          <w:sz w:val="24"/>
        </w:rPr>
        <w:t xml:space="preserve"> для </w:t>
      </w:r>
      <w:r w:rsidR="002814A4">
        <w:rPr>
          <w:rFonts w:ascii="Times New Roman" w:hAnsi="Times New Roman" w:cs="Times New Roman"/>
          <w:sz w:val="24"/>
        </w:rPr>
        <w:t>10-11</w:t>
      </w:r>
      <w:r w:rsidR="009135D2">
        <w:rPr>
          <w:rFonts w:ascii="Times New Roman" w:hAnsi="Times New Roman" w:cs="Times New Roman"/>
          <w:sz w:val="24"/>
        </w:rPr>
        <w:t xml:space="preserve"> классов под редакцией </w:t>
      </w:r>
      <w:r w:rsidR="00E47CB0">
        <w:rPr>
          <w:rFonts w:ascii="Times New Roman" w:hAnsi="Times New Roman" w:cs="Times New Roman"/>
          <w:sz w:val="24"/>
        </w:rPr>
        <w:t>Габриелян О.С</w:t>
      </w:r>
      <w:r w:rsidR="00BF2646">
        <w:rPr>
          <w:rFonts w:ascii="Times New Roman" w:hAnsi="Times New Roman" w:cs="Times New Roman"/>
          <w:sz w:val="24"/>
        </w:rPr>
        <w:t>.,</w:t>
      </w:r>
      <w:r w:rsidR="009135D2">
        <w:rPr>
          <w:rFonts w:ascii="Times New Roman" w:hAnsi="Times New Roman" w:cs="Times New Roman"/>
          <w:sz w:val="24"/>
        </w:rPr>
        <w:t xml:space="preserve"> выпускаемой издательством «</w:t>
      </w:r>
      <w:r w:rsidR="008906EA">
        <w:rPr>
          <w:rFonts w:ascii="Times New Roman" w:hAnsi="Times New Roman" w:cs="Times New Roman"/>
          <w:sz w:val="24"/>
        </w:rPr>
        <w:t>Просвещение</w:t>
      </w:r>
      <w:r w:rsidR="009135D2">
        <w:rPr>
          <w:rFonts w:ascii="Times New Roman" w:hAnsi="Times New Roman" w:cs="Times New Roman"/>
          <w:sz w:val="24"/>
        </w:rPr>
        <w:t xml:space="preserve">»  </w:t>
      </w:r>
    </w:p>
    <w:p w:rsidR="002814A4" w:rsidRPr="00521F71" w:rsidRDefault="002814A4" w:rsidP="002814A4">
      <w:pPr>
        <w:spacing w:after="0" w:line="264" w:lineRule="auto"/>
        <w:ind w:firstLine="600"/>
        <w:jc w:val="both"/>
        <w:rPr>
          <w:sz w:val="24"/>
          <w:szCs w:val="24"/>
        </w:rPr>
      </w:pPr>
      <w:r w:rsidRPr="00521F71">
        <w:rPr>
          <w:rFonts w:ascii="Times New Roman" w:hAnsi="Times New Roman"/>
          <w:color w:val="000000"/>
          <w:sz w:val="24"/>
          <w:szCs w:val="24"/>
        </w:rPr>
        <w:t xml:space="preserve">Цели изучения </w:t>
      </w:r>
      <w:r w:rsidR="00E47CB0">
        <w:rPr>
          <w:rFonts w:ascii="Times New Roman" w:hAnsi="Times New Roman"/>
          <w:color w:val="000000"/>
          <w:sz w:val="24"/>
          <w:szCs w:val="24"/>
        </w:rPr>
        <w:t>химии</w:t>
      </w:r>
      <w:r w:rsidRPr="00521F71">
        <w:rPr>
          <w:rFonts w:ascii="Times New Roman" w:hAnsi="Times New Roman"/>
          <w:color w:val="000000"/>
          <w:sz w:val="24"/>
          <w:szCs w:val="24"/>
        </w:rPr>
        <w:t xml:space="preserve"> на базовом уровне в средней школе направлены на:</w:t>
      </w:r>
    </w:p>
    <w:p w:rsidR="00E47CB0" w:rsidRPr="00E47CB0" w:rsidRDefault="00E47CB0" w:rsidP="00E47CB0">
      <w:pPr>
        <w:numPr>
          <w:ilvl w:val="0"/>
          <w:numId w:val="2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E47CB0" w:rsidRPr="00E47CB0" w:rsidRDefault="00E47CB0" w:rsidP="00E47CB0">
      <w:pPr>
        <w:numPr>
          <w:ilvl w:val="0"/>
          <w:numId w:val="2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E47CB0" w:rsidRPr="00E47CB0" w:rsidRDefault="00E47CB0" w:rsidP="00E47CB0">
      <w:pPr>
        <w:numPr>
          <w:ilvl w:val="0"/>
          <w:numId w:val="2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E47CB0" w:rsidRPr="00E47CB0" w:rsidRDefault="00E47CB0" w:rsidP="00E47CB0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E47CB0" w:rsidRPr="00E47CB0" w:rsidRDefault="00E47CB0" w:rsidP="00E47CB0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E47CB0" w:rsidRPr="00E47CB0" w:rsidRDefault="00E47CB0" w:rsidP="00E47CB0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E47CB0" w:rsidRPr="00E47CB0" w:rsidRDefault="00E47CB0" w:rsidP="00E47CB0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E47CB0" w:rsidRPr="00E47CB0" w:rsidRDefault="00E47CB0" w:rsidP="00E47CB0">
      <w:pPr>
        <w:pStyle w:val="a3"/>
        <w:numPr>
          <w:ilvl w:val="0"/>
          <w:numId w:val="2"/>
        </w:numPr>
        <w:spacing w:after="0" w:line="264" w:lineRule="auto"/>
        <w:ind w:left="284" w:hanging="284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lastRenderedPageBreak/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E47CB0" w:rsidRPr="005135F7" w:rsidRDefault="00E47CB0" w:rsidP="00E47CB0">
      <w:pPr>
        <w:spacing w:after="0" w:line="264" w:lineRule="auto"/>
        <w:ind w:left="284"/>
        <w:jc w:val="both"/>
      </w:pPr>
    </w:p>
    <w:p w:rsidR="004D6CA2" w:rsidRDefault="004D6CA2" w:rsidP="0028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D6CA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Предметными результатами</w:t>
      </w:r>
      <w:r w:rsidRPr="004D6C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изучения курса «</w:t>
      </w:r>
      <w:r w:rsidR="00E47CB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Химия</w:t>
      </w:r>
      <w:r w:rsidRPr="004D6C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</w:t>
      </w:r>
      <w:r w:rsidR="002814A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10-11</w:t>
      </w:r>
      <w:r w:rsidRPr="004D6C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-х классах</w:t>
      </w:r>
      <w:r w:rsidR="00E577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D6C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являются </w:t>
      </w:r>
    </w:p>
    <w:p w:rsidR="002814A4" w:rsidRPr="00521F71" w:rsidRDefault="002814A4" w:rsidP="002814A4">
      <w:pPr>
        <w:spacing w:after="0" w:line="264" w:lineRule="auto"/>
        <w:ind w:firstLine="600"/>
        <w:jc w:val="both"/>
        <w:rPr>
          <w:sz w:val="24"/>
          <w:szCs w:val="24"/>
        </w:rPr>
      </w:pPr>
      <w:r w:rsidRPr="00521F71">
        <w:rPr>
          <w:rFonts w:ascii="Times New Roman" w:hAnsi="Times New Roman"/>
          <w:color w:val="000000"/>
          <w:sz w:val="24"/>
          <w:szCs w:val="24"/>
        </w:rPr>
        <w:t xml:space="preserve">Требования к предметным результатам освоения курса </w:t>
      </w:r>
      <w:r w:rsidR="00E47CB0">
        <w:rPr>
          <w:rFonts w:ascii="Times New Roman" w:hAnsi="Times New Roman"/>
          <w:color w:val="000000"/>
          <w:sz w:val="24"/>
          <w:szCs w:val="24"/>
        </w:rPr>
        <w:t>химии</w:t>
      </w:r>
      <w:r w:rsidRPr="00521F71">
        <w:rPr>
          <w:rFonts w:ascii="Times New Roman" w:hAnsi="Times New Roman"/>
          <w:color w:val="000000"/>
          <w:sz w:val="24"/>
          <w:szCs w:val="24"/>
        </w:rPr>
        <w:t xml:space="preserve"> на базовом уровне должны отражать:</w:t>
      </w:r>
    </w:p>
    <w:p w:rsidR="002814A4" w:rsidRPr="00E47CB0" w:rsidRDefault="002814A4" w:rsidP="002814A4">
      <w:pPr>
        <w:spacing w:after="0" w:line="264" w:lineRule="auto"/>
        <w:ind w:firstLine="600"/>
        <w:jc w:val="both"/>
        <w:rPr>
          <w:sz w:val="24"/>
          <w:szCs w:val="24"/>
        </w:rPr>
      </w:pPr>
      <w:r w:rsidRPr="00E47CB0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Предметные результаты освоения курса «Органическая химия» отражают: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представлений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фактологические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умения определять виды химической связи в органических соединениях (одинарные и кратные); 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E47CB0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/>
          <w:color w:val="000000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E47CB0" w:rsidRPr="00E47CB0" w:rsidRDefault="00E47CB0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r w:rsidRPr="00E47CB0">
        <w:rPr>
          <w:rFonts w:ascii="Times New Roman" w:hAnsi="Times New Roman"/>
          <w:color w:val="000000"/>
          <w:sz w:val="24"/>
          <w:szCs w:val="24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E47CB0" w:rsidRPr="005135F7" w:rsidRDefault="00E47CB0" w:rsidP="00E47CB0">
      <w:pPr>
        <w:spacing w:after="0" w:line="264" w:lineRule="auto"/>
        <w:ind w:left="120"/>
        <w:jc w:val="both"/>
      </w:pPr>
    </w:p>
    <w:p w:rsidR="002814A4" w:rsidRDefault="002814A4" w:rsidP="00281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814A4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11 КЛАСС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курса «Общая и неорганическая химия» отражают: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владение системой химических знаний, которая включает: основополагающие понятия (химический элемент, атом, изотоп, s-, p-, d- электронные </w:t>
      </w: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орбитали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атомов, ион, молекула, моль, молярный объём, валентность, </w:t>
      </w: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фактологические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«s-, p-, d-электронные </w:t>
      </w: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орбитали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Шателье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CB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7CB0">
        <w:rPr>
          <w:rFonts w:ascii="Times New Roman" w:hAnsi="Times New Roman" w:cs="Times New Roman"/>
          <w:color w:val="000000"/>
          <w:sz w:val="24"/>
          <w:szCs w:val="24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color w:val="000000"/>
          <w:sz w:val="24"/>
          <w:szCs w:val="24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E47CB0" w:rsidRPr="00E47CB0" w:rsidRDefault="00E47CB0" w:rsidP="00E47CB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color w:val="000000"/>
          <w:sz w:val="24"/>
          <w:szCs w:val="24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0B6796" w:rsidRPr="000B6796" w:rsidRDefault="000B6796" w:rsidP="000B67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47CB0" w:rsidRPr="00E47CB0" w:rsidRDefault="00A207BE" w:rsidP="00E47CB0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Учебный предмет «Химия» входит в предметную область «</w:t>
      </w:r>
      <w:r>
        <w:rPr>
          <w:rFonts w:ascii="Times New Roman" w:hAnsi="Times New Roman"/>
          <w:color w:val="000000"/>
          <w:sz w:val="24"/>
          <w:szCs w:val="24"/>
        </w:rPr>
        <w:t>Общественно-научные предметы</w:t>
      </w:r>
      <w:r>
        <w:rPr>
          <w:rFonts w:ascii="Times New Roman" w:hAnsi="Times New Roman" w:cs="Times New Roman"/>
          <w:sz w:val="24"/>
        </w:rPr>
        <w:t xml:space="preserve">», является обязательным для изучения в 10-11 классах. </w:t>
      </w:r>
      <w:r w:rsidR="00E47CB0" w:rsidRPr="00E47CB0">
        <w:rPr>
          <w:rFonts w:ascii="Times New Roman" w:hAnsi="Times New Roman"/>
          <w:color w:val="000000"/>
          <w:sz w:val="24"/>
          <w:szCs w:val="24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E5777D" w:rsidRPr="00C8154A" w:rsidRDefault="00E5777D" w:rsidP="00E577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1.Пояснительная записка</w:t>
      </w:r>
    </w:p>
    <w:p w:rsidR="0061624D" w:rsidRDefault="00E5777D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8154A" w:rsidRPr="00C8154A">
        <w:rPr>
          <w:rFonts w:ascii="Times New Roman" w:hAnsi="Times New Roman" w:cs="Times New Roman"/>
          <w:sz w:val="24"/>
        </w:rPr>
        <w:t>.</w:t>
      </w:r>
      <w:r w:rsidR="004D6CA2">
        <w:rPr>
          <w:rFonts w:ascii="Times New Roman" w:hAnsi="Times New Roman" w:cs="Times New Roman"/>
          <w:sz w:val="24"/>
        </w:rPr>
        <w:t xml:space="preserve">Содержание </w:t>
      </w:r>
      <w:r>
        <w:rPr>
          <w:rFonts w:ascii="Times New Roman" w:hAnsi="Times New Roman" w:cs="Times New Roman"/>
          <w:sz w:val="24"/>
        </w:rPr>
        <w:t>учебного предмета</w:t>
      </w:r>
    </w:p>
    <w:p w:rsidR="00E5777D" w:rsidRDefault="00E5777D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3.Планируемые образовательные результаты</w:t>
      </w:r>
    </w:p>
    <w:p w:rsidR="0061624D" w:rsidRDefault="00E5777D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8154A" w:rsidRPr="00C8154A">
        <w:rPr>
          <w:rFonts w:ascii="Times New Roman" w:hAnsi="Times New Roman" w:cs="Times New Roman"/>
          <w:sz w:val="24"/>
        </w:rPr>
        <w:t>.</w:t>
      </w:r>
      <w:r w:rsidR="004D6C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="004D6CA2">
        <w:rPr>
          <w:rFonts w:ascii="Times New Roman" w:hAnsi="Times New Roman" w:cs="Times New Roman"/>
          <w:sz w:val="24"/>
        </w:rPr>
        <w:t>ематическое планирование</w:t>
      </w:r>
    </w:p>
    <w:p w:rsidR="00814769" w:rsidRDefault="00E5777D" w:rsidP="005559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8154A" w:rsidRPr="00C8154A">
        <w:rPr>
          <w:rFonts w:ascii="Times New Roman" w:hAnsi="Times New Roman" w:cs="Times New Roman"/>
          <w:sz w:val="24"/>
        </w:rPr>
        <w:t xml:space="preserve">. </w:t>
      </w:r>
      <w:r w:rsidR="004D6CA2">
        <w:rPr>
          <w:rFonts w:ascii="Times New Roman" w:hAnsi="Times New Roman" w:cs="Times New Roman"/>
          <w:sz w:val="24"/>
        </w:rPr>
        <w:t>Поурочное планирование</w:t>
      </w:r>
    </w:p>
    <w:p w:rsidR="00E5777D" w:rsidRPr="004D6CA2" w:rsidRDefault="00E5777D" w:rsidP="00E57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4D6C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Основными формами контроля при реализации учебной программы являются:</w:t>
      </w:r>
    </w:p>
    <w:p w:rsidR="00E5777D" w:rsidRPr="004D6CA2" w:rsidRDefault="00E5777D" w:rsidP="00E57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D6C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входной контроль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D6CA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начале и в конце четверти, текущий – в форме устного, фронтального опроса, итоговые практические работы, тесты.</w:t>
      </w:r>
    </w:p>
    <w:sectPr w:rsidR="00E5777D" w:rsidRPr="004D6CA2" w:rsidSect="003D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F04"/>
    <w:multiLevelType w:val="multilevel"/>
    <w:tmpl w:val="7DBADB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D1804"/>
    <w:rsid w:val="00086824"/>
    <w:rsid w:val="000B6796"/>
    <w:rsid w:val="001050A4"/>
    <w:rsid w:val="001D1804"/>
    <w:rsid w:val="002814A4"/>
    <w:rsid w:val="003D4ED6"/>
    <w:rsid w:val="00483FD1"/>
    <w:rsid w:val="004C28CE"/>
    <w:rsid w:val="004D6CA2"/>
    <w:rsid w:val="0055594A"/>
    <w:rsid w:val="0061624D"/>
    <w:rsid w:val="0066340E"/>
    <w:rsid w:val="007F10F7"/>
    <w:rsid w:val="00814769"/>
    <w:rsid w:val="008906EA"/>
    <w:rsid w:val="009135D2"/>
    <w:rsid w:val="00A207BE"/>
    <w:rsid w:val="00A3408A"/>
    <w:rsid w:val="00AB452A"/>
    <w:rsid w:val="00B36A40"/>
    <w:rsid w:val="00B91BA7"/>
    <w:rsid w:val="00BF2646"/>
    <w:rsid w:val="00C73A11"/>
    <w:rsid w:val="00C8154A"/>
    <w:rsid w:val="00CA428C"/>
    <w:rsid w:val="00E47CB0"/>
    <w:rsid w:val="00E5777D"/>
    <w:rsid w:val="00EC7C6F"/>
    <w:rsid w:val="00EE506C"/>
    <w:rsid w:val="00FB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801D"/>
  <w15:docId w15:val="{FA2B8ABD-7D39-4CA6-8E56-A9038530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химия1</cp:lastModifiedBy>
  <cp:revision>16</cp:revision>
  <cp:lastPrinted>2019-06-21T02:51:00Z</cp:lastPrinted>
  <dcterms:created xsi:type="dcterms:W3CDTF">2019-06-21T02:52:00Z</dcterms:created>
  <dcterms:modified xsi:type="dcterms:W3CDTF">2023-10-05T05:44:00Z</dcterms:modified>
</cp:coreProperties>
</file>